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7BEB2">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山东海运油轮运输有限公司</w:t>
      </w:r>
    </w:p>
    <w:p w14:paraId="12F51084">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年度信息公告</w:t>
      </w:r>
    </w:p>
    <w:p w14:paraId="0521F972">
      <w:pPr>
        <w:keepNext w:val="0"/>
        <w:keepLines w:val="0"/>
        <w:pageBreakBefore w:val="0"/>
        <w:widowControl w:val="0"/>
        <w:kinsoku/>
        <w:wordWrap/>
        <w:overflowPunct/>
        <w:topLinePunct w:val="0"/>
        <w:autoSpaceDE/>
        <w:autoSpaceDN/>
        <w:bidi w:val="0"/>
        <w:spacing w:line="560" w:lineRule="exact"/>
        <w:jc w:val="both"/>
        <w:textAlignment w:val="auto"/>
      </w:pPr>
    </w:p>
    <w:p w14:paraId="18038A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一、公司基本情况</w:t>
      </w:r>
    </w:p>
    <w:p w14:paraId="288D27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（一）中文名称：山东海运油轮运输有限公司</w:t>
      </w:r>
    </w:p>
    <w:p w14:paraId="12A25AB5">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ascii="仿宋_GB2312" w:eastAsia="仿宋_GB2312"/>
          <w:sz w:val="32"/>
          <w:szCs w:val="32"/>
        </w:rPr>
      </w:pPr>
      <w:r>
        <w:rPr>
          <w:rFonts w:hint="eastAsia" w:ascii="仿宋_GB2312" w:eastAsia="仿宋_GB2312"/>
          <w:sz w:val="32"/>
          <w:szCs w:val="32"/>
        </w:rPr>
        <w:t xml:space="preserve">简 </w:t>
      </w:r>
      <w:r>
        <w:rPr>
          <w:rFonts w:ascii="仿宋_GB2312" w:eastAsia="仿宋_GB2312"/>
          <w:sz w:val="32"/>
          <w:szCs w:val="32"/>
        </w:rPr>
        <w:t xml:space="preserve"> </w:t>
      </w:r>
      <w:r>
        <w:rPr>
          <w:rFonts w:hint="eastAsia" w:ascii="仿宋_GB2312" w:eastAsia="仿宋_GB2312"/>
          <w:sz w:val="32"/>
          <w:szCs w:val="32"/>
        </w:rPr>
        <w:t>称：油轮公司</w:t>
      </w:r>
    </w:p>
    <w:p w14:paraId="43C341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（二）外文名称：S</w:t>
      </w:r>
      <w:r>
        <w:rPr>
          <w:rFonts w:ascii="仿宋_GB2312" w:eastAsia="仿宋_GB2312"/>
          <w:sz w:val="32"/>
          <w:szCs w:val="32"/>
        </w:rPr>
        <w:t>HANDONG SHIPPING TANKER CO., LIMITED</w:t>
      </w:r>
    </w:p>
    <w:p w14:paraId="5D6F67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（三）公司董事：徐涛、刘潇涵、赵枫</w:t>
      </w:r>
    </w:p>
    <w:p w14:paraId="5D516D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（四）注册地址：R</w:t>
      </w:r>
      <w:r>
        <w:rPr>
          <w:rFonts w:hint="eastAsia" w:ascii="仿宋_GB2312" w:eastAsia="仿宋_GB2312"/>
          <w:sz w:val="32"/>
          <w:szCs w:val="32"/>
          <w:lang w:val="en-US" w:eastAsia="zh-CN"/>
        </w:rPr>
        <w:t xml:space="preserve">OOM </w:t>
      </w:r>
      <w:r>
        <w:rPr>
          <w:rFonts w:hint="eastAsia" w:ascii="仿宋_GB2312" w:eastAsia="仿宋_GB2312"/>
          <w:sz w:val="32"/>
          <w:szCs w:val="32"/>
        </w:rPr>
        <w:t>413, 4/F, L</w:t>
      </w:r>
      <w:r>
        <w:rPr>
          <w:rFonts w:hint="eastAsia" w:ascii="仿宋_GB2312" w:eastAsia="仿宋_GB2312"/>
          <w:sz w:val="32"/>
          <w:szCs w:val="32"/>
          <w:lang w:val="en-US" w:eastAsia="zh-CN"/>
        </w:rPr>
        <w:t>UCKY</w:t>
      </w:r>
      <w:r>
        <w:rPr>
          <w:rFonts w:hint="eastAsia" w:ascii="仿宋_GB2312" w:eastAsia="仿宋_GB2312"/>
          <w:sz w:val="32"/>
          <w:szCs w:val="32"/>
        </w:rPr>
        <w:t xml:space="preserve"> </w:t>
      </w:r>
      <w:r>
        <w:rPr>
          <w:rFonts w:hint="eastAsia" w:ascii="仿宋_GB2312" w:eastAsia="仿宋_GB2312"/>
          <w:sz w:val="32"/>
          <w:szCs w:val="32"/>
          <w:lang w:val="en-US" w:eastAsia="zh-CN"/>
        </w:rPr>
        <w:t>CENTRE</w:t>
      </w:r>
      <w:r>
        <w:rPr>
          <w:rFonts w:hint="eastAsia" w:ascii="仿宋_GB2312" w:eastAsia="仿宋_GB2312"/>
          <w:sz w:val="32"/>
          <w:szCs w:val="32"/>
        </w:rPr>
        <w:t>, 165-171 W</w:t>
      </w:r>
      <w:r>
        <w:rPr>
          <w:rFonts w:hint="eastAsia" w:ascii="仿宋_GB2312" w:eastAsia="仿宋_GB2312"/>
          <w:sz w:val="32"/>
          <w:szCs w:val="32"/>
          <w:lang w:val="en-US" w:eastAsia="zh-CN"/>
        </w:rPr>
        <w:t>AN</w:t>
      </w:r>
      <w:r>
        <w:rPr>
          <w:rFonts w:hint="eastAsia" w:ascii="仿宋_GB2312" w:eastAsia="仿宋_GB2312"/>
          <w:sz w:val="32"/>
          <w:szCs w:val="32"/>
        </w:rPr>
        <w:t xml:space="preserve"> C</w:t>
      </w:r>
      <w:r>
        <w:rPr>
          <w:rFonts w:hint="eastAsia" w:ascii="仿宋_GB2312" w:eastAsia="仿宋_GB2312"/>
          <w:sz w:val="32"/>
          <w:szCs w:val="32"/>
          <w:lang w:val="en-US" w:eastAsia="zh-CN"/>
        </w:rPr>
        <w:t>HAI</w:t>
      </w:r>
      <w:r>
        <w:rPr>
          <w:rFonts w:hint="eastAsia" w:ascii="仿宋_GB2312" w:eastAsia="仿宋_GB2312"/>
          <w:sz w:val="32"/>
          <w:szCs w:val="32"/>
        </w:rPr>
        <w:t xml:space="preserve"> R</w:t>
      </w:r>
      <w:r>
        <w:rPr>
          <w:rFonts w:hint="eastAsia" w:ascii="仿宋_GB2312" w:eastAsia="仿宋_GB2312"/>
          <w:sz w:val="32"/>
          <w:szCs w:val="32"/>
          <w:lang w:val="en-US" w:eastAsia="zh-CN"/>
        </w:rPr>
        <w:t>OAD</w:t>
      </w:r>
      <w:r>
        <w:rPr>
          <w:rFonts w:hint="eastAsia" w:ascii="仿宋_GB2312" w:eastAsia="仿宋_GB2312"/>
          <w:sz w:val="32"/>
          <w:szCs w:val="32"/>
        </w:rPr>
        <w:t>, W</w:t>
      </w:r>
      <w:r>
        <w:rPr>
          <w:rFonts w:hint="eastAsia" w:ascii="仿宋_GB2312" w:eastAsia="仿宋_GB2312"/>
          <w:sz w:val="32"/>
          <w:szCs w:val="32"/>
          <w:lang w:val="en-US" w:eastAsia="zh-CN"/>
        </w:rPr>
        <w:t>AN</w:t>
      </w:r>
      <w:r>
        <w:rPr>
          <w:rFonts w:hint="eastAsia" w:ascii="仿宋_GB2312" w:eastAsia="仿宋_GB2312"/>
          <w:sz w:val="32"/>
          <w:szCs w:val="32"/>
        </w:rPr>
        <w:t xml:space="preserve"> C</w:t>
      </w:r>
      <w:r>
        <w:rPr>
          <w:rFonts w:hint="eastAsia" w:ascii="仿宋_GB2312" w:eastAsia="仿宋_GB2312"/>
          <w:sz w:val="32"/>
          <w:szCs w:val="32"/>
          <w:lang w:val="en-US" w:eastAsia="zh-CN"/>
        </w:rPr>
        <w:t>HAI</w:t>
      </w:r>
      <w:r>
        <w:rPr>
          <w:rFonts w:hint="eastAsia" w:ascii="仿宋_GB2312" w:eastAsia="仿宋_GB2312"/>
          <w:sz w:val="32"/>
          <w:szCs w:val="32"/>
        </w:rPr>
        <w:t>, H</w:t>
      </w:r>
      <w:r>
        <w:rPr>
          <w:rFonts w:hint="eastAsia" w:ascii="仿宋_GB2312" w:eastAsia="仿宋_GB2312"/>
          <w:sz w:val="32"/>
          <w:szCs w:val="32"/>
          <w:lang w:val="en-US" w:eastAsia="zh-CN"/>
        </w:rPr>
        <w:t>ONG</w:t>
      </w:r>
      <w:r>
        <w:rPr>
          <w:rFonts w:hint="eastAsia" w:ascii="仿宋_GB2312" w:eastAsia="仿宋_GB2312"/>
          <w:sz w:val="32"/>
          <w:szCs w:val="32"/>
        </w:rPr>
        <w:t xml:space="preserve"> K</w:t>
      </w:r>
      <w:r>
        <w:rPr>
          <w:rFonts w:hint="eastAsia" w:ascii="仿宋_GB2312" w:eastAsia="仿宋_GB2312"/>
          <w:sz w:val="32"/>
          <w:szCs w:val="32"/>
          <w:lang w:val="en-US" w:eastAsia="zh-CN"/>
        </w:rPr>
        <w:t>ONG</w:t>
      </w:r>
    </w:p>
    <w:p w14:paraId="6D52E4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（五）经营范围:</w:t>
      </w:r>
      <w:r>
        <w:rPr>
          <w:rFonts w:ascii="仿宋_GB2312" w:eastAsia="仿宋_GB2312"/>
          <w:sz w:val="32"/>
          <w:szCs w:val="32"/>
        </w:rPr>
        <w:t>SHIPPING, BROKAGE, CHARTERING, TRADING, PORT MGT AND LOGISTICS</w:t>
      </w:r>
      <w:r>
        <w:rPr>
          <w:rFonts w:hint="eastAsia" w:ascii="仿宋_GB2312" w:eastAsia="仿宋_GB2312"/>
          <w:sz w:val="32"/>
          <w:szCs w:val="32"/>
        </w:rPr>
        <w:t xml:space="preserve"> </w:t>
      </w:r>
    </w:p>
    <w:p w14:paraId="2877CD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（六）办公地址：山东省青岛市市北区连云港路66号青岛国际航运中心36楼，邮政编码：266000</w:t>
      </w:r>
    </w:p>
    <w:p w14:paraId="00DEEC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（七）网址：www.sdtanker.com</w:t>
      </w:r>
    </w:p>
    <w:p w14:paraId="6A2140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（八）电子信箱:tanker@sdshipping.cn</w:t>
      </w:r>
    </w:p>
    <w:p w14:paraId="2CEF24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（九）公司简介:</w:t>
      </w:r>
      <w:r>
        <w:rPr>
          <w:rFonts w:hint="eastAsia" w:ascii="仿宋_GB2312" w:eastAsia="仿宋_GB2312"/>
          <w:sz w:val="32"/>
          <w:szCs w:val="32"/>
          <w:lang w:val="en-US" w:eastAsia="zh-CN"/>
        </w:rPr>
        <w:t>山东海运油轮运输有限公司（以下简称“油轮公司”）</w:t>
      </w:r>
      <w:r>
        <w:rPr>
          <w:rFonts w:hint="eastAsia" w:ascii="仿宋_GB2312" w:eastAsia="仿宋_GB2312"/>
          <w:sz w:val="32"/>
          <w:szCs w:val="32"/>
        </w:rPr>
        <w:t>于2016年4月8日于香港更名成立，注册资本5,800万美元。</w:t>
      </w:r>
      <w:r>
        <w:rPr>
          <w:rFonts w:hint="eastAsia" w:ascii="仿宋_GB2312" w:eastAsia="仿宋_GB2312"/>
          <w:sz w:val="32"/>
          <w:szCs w:val="32"/>
          <w:lang w:val="en-US" w:eastAsia="zh-CN"/>
        </w:rPr>
        <w:t>油轮公司</w:t>
      </w:r>
      <w:r>
        <w:rPr>
          <w:rFonts w:hint="eastAsia" w:ascii="仿宋_GB2312" w:eastAsia="仿宋_GB2312"/>
          <w:sz w:val="32"/>
          <w:szCs w:val="32"/>
        </w:rPr>
        <w:t>是山东海运股份有限公司（由省委省政府批准，山东海洋集团有限公司作为控股股东发起设立的国有大型企业，注册资本</w:t>
      </w:r>
      <w:r>
        <w:rPr>
          <w:rFonts w:hint="eastAsia" w:ascii="仿宋_GB2312" w:eastAsia="仿宋_GB2312"/>
          <w:sz w:val="32"/>
          <w:szCs w:val="32"/>
          <w:lang w:val="en-US" w:eastAsia="zh-CN"/>
        </w:rPr>
        <w:t>60.74</w:t>
      </w:r>
      <w:r>
        <w:rPr>
          <w:rFonts w:hint="eastAsia" w:ascii="仿宋_GB2312" w:eastAsia="仿宋_GB2312"/>
          <w:sz w:val="32"/>
          <w:szCs w:val="32"/>
        </w:rPr>
        <w:t>亿元人民币）</w:t>
      </w:r>
      <w:r>
        <w:rPr>
          <w:rFonts w:hint="eastAsia" w:ascii="仿宋_GB2312" w:eastAsia="仿宋_GB2312"/>
          <w:sz w:val="32"/>
          <w:szCs w:val="32"/>
          <w:lang w:val="en-US" w:eastAsia="zh-CN"/>
        </w:rPr>
        <w:t>的全资子公司</w:t>
      </w:r>
      <w:r>
        <w:rPr>
          <w:rFonts w:hint="eastAsia" w:ascii="仿宋_GB2312" w:eastAsia="仿宋_GB2312"/>
          <w:sz w:val="32"/>
          <w:szCs w:val="32"/>
        </w:rPr>
        <w:t>，主营油化品运输、船舶运营、船舶经纪、资产管理等业务</w:t>
      </w:r>
      <w:r>
        <w:rPr>
          <w:rFonts w:hint="eastAsia" w:ascii="仿宋_GB2312" w:eastAsia="仿宋_GB2312"/>
          <w:sz w:val="32"/>
          <w:szCs w:val="32"/>
          <w:lang w:eastAsia="zh-CN"/>
        </w:rPr>
        <w:t>。</w:t>
      </w:r>
    </w:p>
    <w:p w14:paraId="13C73D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sz w:val="32"/>
          <w:szCs w:val="32"/>
        </w:rPr>
      </w:pPr>
      <w:r>
        <w:rPr>
          <w:rFonts w:hint="eastAsia" w:ascii="黑体" w:hAnsi="黑体" w:eastAsia="黑体"/>
          <w:sz w:val="32"/>
          <w:szCs w:val="32"/>
        </w:rPr>
        <w:t>二、公司治理及管理架构</w:t>
      </w:r>
    </w:p>
    <w:p w14:paraId="51F3D7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114300" distR="114300" simplePos="0" relativeHeight="251661312" behindDoc="0" locked="0" layoutInCell="1" allowOverlap="1">
            <wp:simplePos x="0" y="0"/>
            <wp:positionH relativeFrom="column">
              <wp:posOffset>226060</wp:posOffset>
            </wp:positionH>
            <wp:positionV relativeFrom="paragraph">
              <wp:posOffset>254000</wp:posOffset>
            </wp:positionV>
            <wp:extent cx="4972050" cy="3134360"/>
            <wp:effectExtent l="0" t="0" r="0" b="0"/>
            <wp:wrapTopAndBottom/>
            <wp:docPr id="3" name="图片 3" descr="公司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架构"/>
                    <pic:cNvPicPr>
                      <a:picLocks noChangeAspect="1"/>
                    </pic:cNvPicPr>
                  </pic:nvPicPr>
                  <pic:blipFill>
                    <a:blip r:embed="rId6"/>
                    <a:stretch>
                      <a:fillRect/>
                    </a:stretch>
                  </pic:blipFill>
                  <pic:spPr>
                    <a:xfrm>
                      <a:off x="0" y="0"/>
                      <a:ext cx="4972050" cy="3134360"/>
                    </a:xfrm>
                    <a:prstGeom prst="rect">
                      <a:avLst/>
                    </a:prstGeom>
                  </pic:spPr>
                </pic:pic>
              </a:graphicData>
            </a:graphic>
          </wp:anchor>
        </w:drawing>
      </w:r>
      <w:r>
        <w:rPr>
          <w:rFonts w:hint="eastAsia" w:ascii="仿宋_GB2312" w:hAnsi="仿宋_GB2312" w:eastAsia="仿宋_GB2312" w:cs="仿宋_GB2312"/>
          <w:color w:val="000000"/>
          <w:sz w:val="32"/>
          <w:szCs w:val="32"/>
        </w:rPr>
        <w:t>油轮公司治理体系实现规范运作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管理制度</w:t>
      </w:r>
      <w:r>
        <w:rPr>
          <w:rFonts w:hint="eastAsia" w:ascii="仿宋_GB2312" w:hAnsi="仿宋_GB2312" w:eastAsia="仿宋_GB2312" w:cs="仿宋_GB2312"/>
          <w:color w:val="000000"/>
          <w:sz w:val="32"/>
          <w:szCs w:val="32"/>
          <w:lang w:val="en-US" w:eastAsia="zh-CN"/>
        </w:rPr>
        <w:t>不断完善</w:t>
      </w:r>
      <w:r>
        <w:rPr>
          <w:rFonts w:hint="eastAsia" w:ascii="仿宋_GB2312" w:hAnsi="仿宋_GB2312" w:eastAsia="仿宋_GB2312" w:cs="仿宋_GB2312"/>
          <w:color w:val="000000"/>
          <w:sz w:val="32"/>
          <w:szCs w:val="32"/>
        </w:rPr>
        <w:t>。公司根据香港《公司条例》、《山东海运油轮运输有限公司章程》、《山东海运油轮运输有限公司董事会议事规则》、按照法律法规规范董事会内部机构及运作程序。</w:t>
      </w:r>
      <w:r>
        <w:rPr>
          <w:rFonts w:hint="eastAsia" w:ascii="仿宋_GB2312" w:hAnsi="仿宋_GB2312" w:eastAsia="仿宋_GB2312" w:cs="仿宋_GB2312"/>
          <w:color w:val="000000"/>
          <w:sz w:val="32"/>
          <w:szCs w:val="32"/>
          <w:lang w:val="en-US" w:eastAsia="zh-CN"/>
        </w:rPr>
        <w:t>油轮</w:t>
      </w:r>
      <w:r>
        <w:rPr>
          <w:rFonts w:hint="eastAsia" w:ascii="仿宋_GB2312" w:hAnsi="仿宋_GB2312" w:eastAsia="仿宋_GB2312" w:cs="仿宋_GB2312"/>
          <w:color w:val="000000"/>
          <w:sz w:val="32"/>
          <w:szCs w:val="32"/>
        </w:rPr>
        <w:t>公司董事会由3名董事组成，其中外部董事2名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董事会</w:t>
      </w:r>
      <w:r>
        <w:rPr>
          <w:rFonts w:hint="eastAsia" w:ascii="仿宋_GB2312" w:hAnsi="仿宋_GB2312" w:eastAsia="仿宋_GB2312" w:cs="仿宋_GB2312"/>
          <w:color w:val="000000"/>
          <w:sz w:val="32"/>
          <w:szCs w:val="32"/>
        </w:rPr>
        <w:t>召集、召开、表决程序符合有关法律、法规的要求，重大决策均按照规定程序进行，相关机构和人员依法运作</w:t>
      </w:r>
      <w:r>
        <w:rPr>
          <w:rFonts w:hint="eastAsia" w:ascii="仿宋_GB2312" w:hAnsi="仿宋_GB2312" w:eastAsia="仿宋_GB2312" w:cs="仿宋_GB2312"/>
          <w:color w:val="000000"/>
          <w:sz w:val="32"/>
          <w:szCs w:val="32"/>
          <w:lang w:eastAsia="zh-CN"/>
        </w:rPr>
        <w:t>。</w:t>
      </w:r>
    </w:p>
    <w:p w14:paraId="74D10AE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油轮公司产权层级和管理层级符合省属国有企业产权层级和管理层级相关管理规定。</w:t>
      </w:r>
    </w:p>
    <w:p w14:paraId="1381A6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三、年度内发生的重大事项及对公司的影响</w:t>
      </w:r>
    </w:p>
    <w:p w14:paraId="65E726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（一）年度重要人事任免情况</w:t>
      </w:r>
    </w:p>
    <w:p w14:paraId="6B3767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油轮公司202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度无重要</w:t>
      </w:r>
      <w:r>
        <w:rPr>
          <w:rFonts w:hint="eastAsia" w:ascii="仿宋_GB2312" w:eastAsia="仿宋_GB2312"/>
          <w:sz w:val="32"/>
          <w:szCs w:val="32"/>
          <w:highlight w:val="none"/>
        </w:rPr>
        <w:t>人事任免</w:t>
      </w:r>
      <w:r>
        <w:rPr>
          <w:rFonts w:hint="eastAsia" w:ascii="仿宋_GB2312" w:eastAsia="仿宋_GB2312"/>
          <w:sz w:val="32"/>
          <w:szCs w:val="32"/>
          <w:highlight w:val="none"/>
          <w:lang w:val="en-US" w:eastAsia="zh-CN"/>
        </w:rPr>
        <w:t>情况。</w:t>
      </w:r>
    </w:p>
    <w:p w14:paraId="3836D0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（二）年度重大项目安排情况</w:t>
      </w:r>
    </w:p>
    <w:p w14:paraId="4435D979">
      <w:pPr>
        <w:keepNext w:val="0"/>
        <w:keepLines w:val="0"/>
        <w:widowControl/>
        <w:suppressLineNumbers w:val="0"/>
        <w:ind w:firstLine="620" w:firstLineChars="200"/>
        <w:jc w:val="left"/>
        <w:rPr>
          <w:rFonts w:hint="eastAsia" w:ascii="仿宋_GB2312" w:eastAsia="仿宋_GB2312"/>
          <w:sz w:val="32"/>
          <w:szCs w:val="32"/>
          <w:lang w:val="en-US" w:eastAsia="zh-CN"/>
        </w:rPr>
      </w:pPr>
      <w:r>
        <w:rPr>
          <w:rFonts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年经油轮公司董事会审议通过的重大项目安排包括：</w:t>
      </w:r>
      <w:r>
        <w:rPr>
          <w:rFonts w:hint="eastAsia" w:ascii="仿宋_GB2312" w:hAnsi="宋体" w:eastAsia="仿宋_GB2312" w:cs="仿宋_GB2312"/>
          <w:color w:val="000000"/>
          <w:kern w:val="0"/>
          <w:sz w:val="31"/>
          <w:szCs w:val="31"/>
          <w:lang w:val="en-US" w:eastAsia="zh-CN" w:bidi="ar"/>
        </w:rPr>
        <w:t>《关于审议油轮公司8艘5万吨级油化品船舶项目的议案》、《关于增加山东海运油轮运输有限公司注册资本的议案》以及《关于山东海运油轮运输有限公司处置3艘成品油轮的议案》。</w:t>
      </w:r>
    </w:p>
    <w:p w14:paraId="36E60F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（三）重大事项对企业的影响</w:t>
      </w:r>
    </w:p>
    <w:p w14:paraId="4637A0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年度内发生的重大事项未对公司生产经营产生不利影响。</w:t>
      </w:r>
    </w:p>
    <w:p w14:paraId="7B0B3F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四、企业重大改制重组结果</w:t>
      </w:r>
    </w:p>
    <w:p w14:paraId="1A9551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报告期内，油轮公司未发生重大改制重组。</w:t>
      </w:r>
    </w:p>
    <w:p w14:paraId="52CACC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color w:val="000000"/>
          <w:sz w:val="32"/>
        </w:rPr>
      </w:pPr>
      <w:r>
        <w:rPr>
          <w:rFonts w:hint="eastAsia" w:ascii="黑体" w:hAnsi="黑体" w:eastAsia="黑体" w:cs="黑体"/>
          <w:color w:val="000000"/>
          <w:sz w:val="32"/>
        </w:rPr>
        <w:t>五、通过产权市场转让企业产权和企业增资等信息</w:t>
      </w:r>
    </w:p>
    <w:p w14:paraId="0D99F70A">
      <w:pPr>
        <w:adjustRightInd w:val="0"/>
        <w:snapToGrid w:val="0"/>
        <w:spacing w:line="560" w:lineRule="exact"/>
        <w:ind w:firstLine="645"/>
        <w:rPr>
          <w:rFonts w:hint="eastAsia" w:ascii="仿宋_GB2312" w:eastAsia="仿宋_GB2312"/>
          <w:sz w:val="32"/>
          <w:szCs w:val="32"/>
          <w:highlight w:val="yellow"/>
          <w:lang w:eastAsia="zh-CN"/>
        </w:rPr>
      </w:pPr>
      <w:r>
        <w:rPr>
          <w:rFonts w:hint="eastAsia" w:ascii="仿宋_GB2312" w:eastAsia="仿宋_GB2312"/>
          <w:sz w:val="32"/>
          <w:szCs w:val="32"/>
          <w:lang w:val="en-US" w:eastAsia="zh-CN"/>
        </w:rPr>
        <w:t>报告期内</w:t>
      </w:r>
      <w:r>
        <w:rPr>
          <w:rFonts w:hint="eastAsia" w:ascii="仿宋_GB2312" w:eastAsia="仿宋_GB2312"/>
          <w:sz w:val="32"/>
          <w:szCs w:val="32"/>
        </w:rPr>
        <w:t>，经</w:t>
      </w:r>
      <w:r>
        <w:rPr>
          <w:rFonts w:hint="eastAsia" w:ascii="仿宋_GB2312" w:eastAsia="仿宋_GB2312"/>
          <w:sz w:val="32"/>
          <w:szCs w:val="32"/>
          <w:lang w:val="en-US" w:eastAsia="zh-CN"/>
        </w:rPr>
        <w:t>上级相关单位审议</w:t>
      </w:r>
      <w:r>
        <w:rPr>
          <w:rFonts w:hint="eastAsia" w:ascii="仿宋_GB2312" w:eastAsia="仿宋_GB2312"/>
          <w:sz w:val="32"/>
          <w:szCs w:val="32"/>
        </w:rPr>
        <w:t>批准，同意油轮公司增发9,881,422股普通股，</w:t>
      </w:r>
      <w:r>
        <w:rPr>
          <w:rFonts w:hint="eastAsia" w:ascii="仿宋_GB2312" w:eastAsia="仿宋_GB2312"/>
          <w:sz w:val="32"/>
          <w:szCs w:val="32"/>
          <w:lang w:val="en-US" w:eastAsia="zh-CN"/>
        </w:rPr>
        <w:t>山东海运股份有限公司（以下简称“海运股份”）</w:t>
      </w:r>
      <w:r>
        <w:rPr>
          <w:rFonts w:hint="eastAsia" w:ascii="仿宋_GB2312" w:eastAsia="仿宋_GB2312"/>
          <w:sz w:val="32"/>
          <w:szCs w:val="32"/>
        </w:rPr>
        <w:t>向油轮公司增资5,000万美元。增资完成后，油轮公司注册资本增至5,800万美元</w:t>
      </w:r>
      <w:r>
        <w:rPr>
          <w:rFonts w:hint="eastAsia" w:ascii="仿宋_GB2312" w:eastAsia="仿宋_GB2312"/>
          <w:sz w:val="32"/>
          <w:szCs w:val="32"/>
          <w:lang w:eastAsia="zh-CN"/>
        </w:rPr>
        <w:t>，</w:t>
      </w:r>
      <w:r>
        <w:rPr>
          <w:rFonts w:ascii="仿宋_GB2312" w:eastAsia="仿宋_GB2312"/>
          <w:sz w:val="32"/>
          <w:szCs w:val="32"/>
        </w:rPr>
        <w:t>出资人为</w:t>
      </w:r>
      <w:r>
        <w:rPr>
          <w:rFonts w:hint="eastAsia" w:ascii="仿宋_GB2312" w:eastAsia="仿宋_GB2312"/>
          <w:sz w:val="32"/>
          <w:szCs w:val="32"/>
        </w:rPr>
        <w:t>海运股份，</w:t>
      </w:r>
      <w:r>
        <w:rPr>
          <w:rFonts w:ascii="仿宋_GB2312" w:eastAsia="仿宋_GB2312"/>
          <w:sz w:val="32"/>
          <w:szCs w:val="32"/>
        </w:rPr>
        <w:t>认缴出资</w:t>
      </w:r>
      <w:r>
        <w:rPr>
          <w:rFonts w:hint="eastAsia" w:ascii="仿宋_GB2312" w:eastAsia="仿宋_GB2312"/>
          <w:sz w:val="32"/>
          <w:szCs w:val="32"/>
        </w:rPr>
        <w:t>5,800万美元、</w:t>
      </w:r>
      <w:r>
        <w:rPr>
          <w:rFonts w:ascii="仿宋_GB2312" w:eastAsia="仿宋_GB2312"/>
          <w:sz w:val="32"/>
          <w:szCs w:val="32"/>
        </w:rPr>
        <w:t>出资占比100%</w:t>
      </w:r>
      <w:r>
        <w:rPr>
          <w:rFonts w:hint="eastAsia" w:ascii="仿宋_GB2312" w:eastAsia="仿宋_GB2312"/>
          <w:sz w:val="32"/>
          <w:szCs w:val="32"/>
          <w:lang w:eastAsia="zh-CN"/>
        </w:rPr>
        <w:t>。</w:t>
      </w:r>
    </w:p>
    <w:p w14:paraId="0B598E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rPr>
      </w:pPr>
      <w:r>
        <w:rPr>
          <w:rFonts w:hint="eastAsia" w:ascii="黑体" w:hAnsi="黑体" w:eastAsia="黑体" w:cs="黑体"/>
          <w:color w:val="000000"/>
          <w:sz w:val="32"/>
        </w:rPr>
        <w:t>六、有关部门依法要求公开的监督检查问题整改情况、重大突发事件事态发展和应急处置情况</w:t>
      </w:r>
    </w:p>
    <w:p w14:paraId="04F265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color w:val="000000"/>
          <w:sz w:val="32"/>
        </w:rPr>
      </w:pPr>
      <w:r>
        <w:rPr>
          <w:rFonts w:hint="eastAsia" w:ascii="仿宋_GB2312" w:hAnsi="仿宋_GB2312" w:eastAsia="仿宋_GB2312" w:cs="仿宋_GB2312"/>
          <w:color w:val="000000"/>
          <w:sz w:val="32"/>
        </w:rPr>
        <w:t>报告期内，油轮公司未存在需整改问题、重大突发事件和需应急处置情况。</w:t>
      </w:r>
    </w:p>
    <w:p w14:paraId="66E548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七、企业履行社会责任情况</w:t>
      </w:r>
    </w:p>
    <w:p w14:paraId="0FC153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sz w:val="32"/>
          <w:szCs w:val="32"/>
          <w:lang w:val="en-US" w:eastAsia="zh-CN"/>
        </w:rPr>
        <w:t>油轮公司</w:t>
      </w:r>
      <w:r>
        <w:rPr>
          <w:rFonts w:hint="eastAsia" w:ascii="仿宋_GB2312" w:hAnsi="仿宋_GB2312" w:eastAsia="仿宋_GB2312" w:cs="仿宋_GB2312"/>
          <w:color w:val="000000"/>
          <w:sz w:val="32"/>
          <w:szCs w:val="32"/>
        </w:rPr>
        <w:t>在经营过程中，坚持诚信</w:t>
      </w:r>
      <w:r>
        <w:rPr>
          <w:rFonts w:hint="eastAsia" w:ascii="仿宋_GB2312" w:hAnsi="仿宋_GB2312" w:eastAsia="仿宋_GB2312" w:cs="仿宋_GB2312"/>
          <w:color w:val="000000"/>
          <w:sz w:val="32"/>
          <w:szCs w:val="32"/>
          <w:lang w:val="en-US" w:eastAsia="zh-CN"/>
        </w:rPr>
        <w:t>经营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"http://www.baidu.com/link?url=AC5_kc69y4Fg_FWA1AxPmQEptmaTS9BCe0eAQlWJWVH12TT5m1N63zQRIA-B6l34unjRe43bipkO8urL3UAE0lgRBmCu8CCsQM9_Yl0mVE7" \t "https://www.baidu.com/_blank"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积极履践责任担当</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"http://www.baidu.com/link?url=clNxLe66Up6z090vyS1vbdjGP4LeS5oJX9waj-l-f7j1pomvxrPh3YXAIRU-8_6ai0wLR3LC0bTjc59HfIQqNLDV4XxjPcVtMPPO68H2GLe" \t "https://www.baidu.com/_blank"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聚焦主责主业，夯实高质量发展基础</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，把履行社会责任的要求融入公司运营全过程和日常管理中。</w:t>
      </w:r>
    </w:p>
    <w:p w14:paraId="251109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（一）相关工作开展情况</w:t>
      </w:r>
    </w:p>
    <w:p w14:paraId="0DCCF794">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lang w:val="en-US" w:eastAsia="zh-CN"/>
        </w:rPr>
        <w:t>油轮公司</w:t>
      </w:r>
      <w:r>
        <w:rPr>
          <w:rFonts w:hint="eastAsia" w:ascii="仿宋_GB2312" w:eastAsia="仿宋_GB2312"/>
          <w:color w:val="000000" w:themeColor="text1"/>
          <w:sz w:val="32"/>
          <w:szCs w:val="32"/>
          <w:lang w:val="en-US" w:eastAsia="zh-CN"/>
          <w14:textFill>
            <w14:solidFill>
              <w14:schemeClr w14:val="tx1"/>
            </w14:solidFill>
          </w14:textFill>
        </w:rPr>
        <w:t>积极践行节能减排理念，</w:t>
      </w:r>
      <w:r>
        <w:rPr>
          <w:rFonts w:hint="eastAsia" w:ascii="仿宋_GB2312" w:eastAsia="仿宋_GB2312"/>
          <w:sz w:val="32"/>
          <w:szCs w:val="32"/>
        </w:rPr>
        <w:t>公司</w:t>
      </w:r>
      <w:r>
        <w:rPr>
          <w:rFonts w:hint="eastAsia" w:ascii="仿宋_GB2312" w:eastAsia="仿宋_GB2312"/>
          <w:sz w:val="32"/>
          <w:szCs w:val="32"/>
          <w:lang w:val="en-US" w:eastAsia="zh-CN"/>
        </w:rPr>
        <w:t>已</w:t>
      </w:r>
      <w:r>
        <w:rPr>
          <w:rFonts w:hint="eastAsia" w:ascii="仿宋_GB2312" w:eastAsia="仿宋_GB2312"/>
          <w:sz w:val="32"/>
          <w:szCs w:val="32"/>
        </w:rPr>
        <w:t>于EEXI能效升级前完成碳减排方案编制，</w:t>
      </w:r>
      <w:r>
        <w:rPr>
          <w:rFonts w:hint="eastAsia" w:ascii="仿宋_GB2312" w:eastAsia="仿宋_GB2312"/>
          <w:sz w:val="32"/>
          <w:szCs w:val="32"/>
          <w:lang w:val="en-US" w:eastAsia="zh-CN"/>
        </w:rPr>
        <w:t>公司</w:t>
      </w:r>
      <w:r>
        <w:rPr>
          <w:rFonts w:hint="eastAsia" w:ascii="仿宋_GB2312" w:eastAsia="仿宋_GB2312"/>
          <w:sz w:val="32"/>
          <w:szCs w:val="32"/>
        </w:rPr>
        <w:t>管理所属船队均满足EEXI要求</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Calibri" w:eastAsia="仿宋_GB2312" w:cs="Times New Roman"/>
          <w:sz w:val="32"/>
          <w:szCs w:val="32"/>
        </w:rPr>
        <w:t>公司坚决贯彻</w:t>
      </w:r>
      <w:r>
        <w:rPr>
          <w:rFonts w:hint="eastAsia" w:ascii="仿宋_GB2312" w:hAnsi="Calibri" w:eastAsia="仿宋_GB2312" w:cs="Times New Roman"/>
          <w:sz w:val="32"/>
          <w:szCs w:val="32"/>
          <w:lang w:val="en-US" w:eastAsia="zh-CN"/>
        </w:rPr>
        <w:t>集团公司</w:t>
      </w:r>
      <w:r>
        <w:rPr>
          <w:rFonts w:hint="eastAsia" w:ascii="仿宋_GB2312" w:hAnsi="Calibri" w:eastAsia="仿宋_GB2312" w:cs="Times New Roman"/>
          <w:sz w:val="32"/>
          <w:szCs w:val="32"/>
        </w:rPr>
        <w:t>及海运股份对安全生产工作的总要求，稳扎稳打，</w:t>
      </w:r>
      <w:r>
        <w:rPr>
          <w:rFonts w:hint="eastAsia" w:ascii="仿宋_GB2312" w:eastAsia="仿宋_GB2312"/>
          <w:sz w:val="32"/>
          <w:szCs w:val="32"/>
        </w:rPr>
        <w:t>船舶营运率</w:t>
      </w:r>
      <w:r>
        <w:rPr>
          <w:rFonts w:hint="eastAsia" w:ascii="仿宋_GB2312" w:eastAsia="仿宋_GB2312"/>
          <w:sz w:val="32"/>
          <w:szCs w:val="32"/>
          <w:lang w:val="en-US" w:eastAsia="zh-CN"/>
        </w:rPr>
        <w:t>为</w:t>
      </w:r>
      <w:r>
        <w:rPr>
          <w:rFonts w:hint="eastAsia" w:ascii="仿宋_GB2312" w:eastAsia="仿宋_GB2312"/>
          <w:sz w:val="32"/>
          <w:szCs w:val="32"/>
        </w:rPr>
        <w:t>99</w:t>
      </w:r>
      <w:r>
        <w:rPr>
          <w:rFonts w:ascii="仿宋_GB2312" w:eastAsia="仿宋_GB2312"/>
          <w:sz w:val="32"/>
          <w:szCs w:val="32"/>
        </w:rPr>
        <w:t>.</w:t>
      </w:r>
      <w:r>
        <w:rPr>
          <w:rFonts w:hint="eastAsia" w:ascii="仿宋_GB2312" w:eastAsia="仿宋_GB2312"/>
          <w:sz w:val="32"/>
          <w:szCs w:val="32"/>
        </w:rPr>
        <w:t>49%</w:t>
      </w:r>
      <w:r>
        <w:rPr>
          <w:rFonts w:hint="eastAsia" w:ascii="仿宋_GB2312" w:eastAsia="仿宋_GB2312"/>
          <w:sz w:val="32"/>
          <w:szCs w:val="32"/>
          <w:lang w:eastAsia="zh-CN"/>
        </w:rPr>
        <w:t>，</w:t>
      </w:r>
      <w:r>
        <w:rPr>
          <w:rFonts w:hint="eastAsia" w:ascii="仿宋_GB2312" w:hAnsi="Calibri" w:eastAsia="仿宋_GB2312" w:cs="Times New Roman"/>
          <w:sz w:val="32"/>
          <w:szCs w:val="32"/>
        </w:rPr>
        <w:t>自主运营船舶PSC检查零缺陷率72.1%，石油公司检查缺陷率2.8个观察项/艘次，</w:t>
      </w:r>
      <w:r>
        <w:rPr>
          <w:rFonts w:hint="eastAsia" w:ascii="仿宋_GB2312" w:hAnsi="Calibri" w:eastAsia="仿宋_GB2312" w:cs="Times New Roman"/>
          <w:sz w:val="32"/>
          <w:szCs w:val="32"/>
          <w:lang w:val="en-US" w:eastAsia="zh-CN"/>
        </w:rPr>
        <w:t>均</w:t>
      </w:r>
      <w:r>
        <w:rPr>
          <w:rFonts w:hint="eastAsia" w:ascii="仿宋_GB2312" w:hAnsi="Calibri" w:eastAsia="仿宋_GB2312" w:cs="Times New Roman"/>
          <w:sz w:val="32"/>
          <w:szCs w:val="32"/>
        </w:rPr>
        <w:t>优于公司年度目标指标，全年未发生一般以上安全事故，成功实现了船舶货物运输工作的安全生产</w:t>
      </w:r>
      <w:r>
        <w:rPr>
          <w:rFonts w:hint="eastAsia" w:ascii="仿宋_GB2312" w:hAnsi="Calibri" w:eastAsia="仿宋_GB2312" w:cs="Times New Roman"/>
          <w:sz w:val="32"/>
          <w:szCs w:val="32"/>
          <w:lang w:eastAsia="zh-CN"/>
        </w:rPr>
        <w:t>；</w:t>
      </w:r>
      <w:r>
        <w:rPr>
          <w:rFonts w:hint="eastAsia" w:ascii="仿宋_GB2312" w:eastAsia="仿宋_GB2312"/>
          <w:sz w:val="32"/>
          <w:szCs w:val="32"/>
        </w:rPr>
        <w:t>严格贯彻落实上级单位下达的各项指标</w:t>
      </w:r>
      <w:r>
        <w:rPr>
          <w:rFonts w:hint="eastAsia" w:ascii="仿宋_GB2312" w:eastAsia="仿宋_GB2312"/>
          <w:sz w:val="32"/>
          <w:szCs w:val="32"/>
          <w:lang w:eastAsia="zh-CN"/>
        </w:rPr>
        <w:t>，</w:t>
      </w:r>
      <w:r>
        <w:rPr>
          <w:rFonts w:hint="eastAsia" w:ascii="仿宋_GB2312" w:eastAsia="仿宋_GB2312"/>
          <w:sz w:val="32"/>
          <w:szCs w:val="32"/>
        </w:rPr>
        <w:t>截至2023年底资产负债率未超过上级单位下达的目标值</w:t>
      </w:r>
      <w:r>
        <w:rPr>
          <w:rFonts w:hint="eastAsia" w:ascii="仿宋_GB2312" w:eastAsia="仿宋_GB2312"/>
          <w:sz w:val="32"/>
          <w:szCs w:val="32"/>
          <w:lang w:eastAsia="zh-CN"/>
        </w:rPr>
        <w:t>；</w:t>
      </w:r>
      <w:r>
        <w:rPr>
          <w:rFonts w:hint="eastAsia" w:ascii="仿宋_GB2312" w:eastAsia="仿宋_GB2312"/>
          <w:sz w:val="32"/>
          <w:szCs w:val="32"/>
        </w:rPr>
        <w:t>2023年，油轮公司继续加强和规范风险管理，提高风险防范能力</w:t>
      </w:r>
      <w:r>
        <w:rPr>
          <w:rFonts w:hint="eastAsia" w:ascii="仿宋_GB2312" w:eastAsia="仿宋_GB2312"/>
          <w:sz w:val="32"/>
          <w:szCs w:val="32"/>
          <w:lang w:eastAsia="zh-CN"/>
        </w:rPr>
        <w:t>，</w:t>
      </w:r>
      <w:r>
        <w:rPr>
          <w:rFonts w:hint="eastAsia" w:ascii="仿宋_GB2312" w:eastAsia="仿宋_GB2312"/>
          <w:sz w:val="32"/>
          <w:szCs w:val="32"/>
        </w:rPr>
        <w:t>积极践行风险管理相关制度，本年度未发生因管理不善造成重大国有资产损失或其他严重不良后果的重大风险事件。</w:t>
      </w:r>
    </w:p>
    <w:p w14:paraId="4C186E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）人才队伍</w:t>
      </w:r>
      <w:r>
        <w:rPr>
          <w:rFonts w:hint="eastAsia" w:ascii="楷体_GB2312" w:hAnsi="楷体_GB2312" w:eastAsia="楷体_GB2312" w:cs="楷体_GB2312"/>
          <w:sz w:val="32"/>
          <w:szCs w:val="32"/>
          <w:lang w:val="en-US" w:eastAsia="zh-CN"/>
        </w:rPr>
        <w:t>建设</w:t>
      </w:r>
      <w:r>
        <w:rPr>
          <w:rFonts w:hint="eastAsia" w:ascii="楷体_GB2312" w:hAnsi="楷体_GB2312" w:eastAsia="楷体_GB2312" w:cs="楷体_GB2312"/>
          <w:sz w:val="32"/>
          <w:szCs w:val="32"/>
        </w:rPr>
        <w:t>情况</w:t>
      </w:r>
    </w:p>
    <w:p w14:paraId="2AACE7CE">
      <w:pPr>
        <w:spacing w:line="560" w:lineRule="exact"/>
        <w:ind w:firstLine="640" w:firstLineChars="200"/>
        <w:rPr>
          <w:rFonts w:hint="default" w:ascii="仿宋_GB2312" w:hAnsi="黑体" w:eastAsia="仿宋_GB2312"/>
          <w:sz w:val="32"/>
          <w:szCs w:val="32"/>
          <w:highlight w:val="yellow"/>
          <w:lang w:val="en-US" w:eastAsia="zh-CN"/>
        </w:rPr>
      </w:pPr>
      <w:r>
        <w:rPr>
          <w:rFonts w:hint="eastAsia" w:ascii="仿宋_GB2312" w:hAnsi="黑体" w:eastAsia="仿宋_GB2312"/>
          <w:sz w:val="32"/>
          <w:szCs w:val="32"/>
        </w:rPr>
        <w:t>拓宽人才引入渠道与地域限制，引进具备全球视野的行业高端人才2名。深化与行业知名院所合作，为人才链、产业链融合发展提供有力人才支撑。开创油化品船舶青年管理人才培养项目，通过技能培训、船岸轮岗等多种培训形式，健全完善岸基管理人才队伍和油化品船舶高级船员梯队。</w:t>
      </w:r>
    </w:p>
    <w:p w14:paraId="4E22F4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黑体" w:eastAsia="仿宋_GB2312"/>
          <w:sz w:val="32"/>
          <w:szCs w:val="32"/>
        </w:rPr>
        <w:t>油轮公司依法依规与员工签订劳动合同，缴纳社会保险与公积金，保障员工合法权益。</w:t>
      </w:r>
      <w:r>
        <w:rPr>
          <w:rFonts w:hint="eastAsia" w:ascii="仿宋_GB2312" w:eastAsia="仿宋_GB2312"/>
          <w:sz w:val="32"/>
          <w:szCs w:val="32"/>
        </w:rPr>
        <w:t>严格贯彻落实《山东海运股份有限公司工资总额管理办法》等相关办法，油轮公司年内工资总额控制在预算范围内，经营层薪酬严格受总部管理，年内工资总额未超发。</w:t>
      </w:r>
    </w:p>
    <w:p w14:paraId="0F61FE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年企业获得的主要荣誉</w:t>
      </w:r>
    </w:p>
    <w:p w14:paraId="445FAE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报告期内，</w:t>
      </w:r>
      <w:r>
        <w:rPr>
          <w:rFonts w:hint="eastAsia" w:ascii="仿宋_GB2312" w:hAnsi="仿宋_GB2312" w:eastAsia="仿宋_GB2312" w:cs="仿宋_GB2312"/>
          <w:sz w:val="32"/>
          <w:szCs w:val="32"/>
        </w:rPr>
        <w:t>油轮公司党支部</w:t>
      </w:r>
      <w:r>
        <w:rPr>
          <w:rFonts w:hint="eastAsia" w:ascii="仿宋_GB2312" w:eastAsia="仿宋_GB2312"/>
          <w:color w:val="000000" w:themeColor="text1"/>
          <w:sz w:val="32"/>
          <w:szCs w:val="32"/>
          <w14:textFill>
            <w14:solidFill>
              <w14:schemeClr w14:val="tx1"/>
            </w14:solidFill>
          </w14:textFill>
        </w:rPr>
        <w:t>获</w:t>
      </w:r>
      <w:r>
        <w:rPr>
          <w:rFonts w:hint="eastAsia" w:ascii="仿宋_GB2312" w:eastAsia="仿宋_GB2312"/>
          <w:color w:val="000000" w:themeColor="text1"/>
          <w:sz w:val="32"/>
          <w:szCs w:val="32"/>
          <w:lang w:val="en-US" w:eastAsia="zh-CN"/>
          <w14:textFill>
            <w14:solidFill>
              <w14:schemeClr w14:val="tx1"/>
            </w14:solidFill>
          </w14:textFill>
        </w:rPr>
        <w:t>评</w:t>
      </w:r>
      <w:r>
        <w:rPr>
          <w:rFonts w:hint="eastAsia" w:ascii="仿宋_GB2312" w:hAnsi="黑体" w:eastAsia="仿宋_GB2312"/>
          <w:sz w:val="32"/>
          <w:szCs w:val="32"/>
        </w:rPr>
        <w:t>省属企业文明单位</w:t>
      </w:r>
      <w:r>
        <w:rPr>
          <w:rFonts w:hint="eastAsia" w:ascii="仿宋_GB2312" w:hAnsi="黑体" w:eastAsia="仿宋_GB2312"/>
          <w:sz w:val="32"/>
          <w:szCs w:val="32"/>
          <w:lang w:eastAsia="zh-CN"/>
        </w:rPr>
        <w:t>，</w:t>
      </w:r>
      <w:r>
        <w:rPr>
          <w:rFonts w:hint="eastAsia" w:ascii="仿宋_GB2312" w:eastAsia="仿宋_GB2312"/>
          <w:color w:val="000000" w:themeColor="text1"/>
          <w:sz w:val="32"/>
          <w:szCs w:val="32"/>
          <w14:textFill>
            <w14:solidFill>
              <w14:schemeClr w14:val="tx1"/>
            </w14:solidFill>
          </w14:textFill>
        </w:rPr>
        <w:t>集团公司“先进基层党组织”</w:t>
      </w:r>
      <w:r>
        <w:rPr>
          <w:rFonts w:hint="eastAsia" w:ascii="仿宋_GB2312" w:eastAsia="仿宋_GB2312"/>
          <w:color w:val="000000" w:themeColor="text1"/>
          <w:sz w:val="32"/>
          <w:szCs w:val="32"/>
          <w:lang w:val="en-US" w:eastAsia="zh-CN"/>
          <w14:textFill>
            <w14:solidFill>
              <w14:schemeClr w14:val="tx1"/>
            </w14:solidFill>
          </w14:textFill>
        </w:rPr>
        <w:t>以及</w:t>
      </w:r>
      <w:r>
        <w:rPr>
          <w:rFonts w:hint="eastAsia" w:ascii="仿宋_GB2312" w:eastAsia="仿宋_GB2312"/>
          <w:color w:val="000000" w:themeColor="text1"/>
          <w:sz w:val="32"/>
          <w:szCs w:val="32"/>
          <w14:textFill>
            <w14:solidFill>
              <w14:schemeClr w14:val="tx1"/>
            </w14:solidFill>
          </w14:textFill>
        </w:rPr>
        <w:t>“五星级党支部”评定。</w:t>
      </w:r>
      <w:r>
        <w:rPr>
          <w:rFonts w:hint="eastAsia" w:ascii="仿宋_GB2312" w:hAnsi="Calibri" w:eastAsia="仿宋_GB2312" w:cs="Times New Roman"/>
          <w:sz w:val="32"/>
          <w:szCs w:val="32"/>
        </w:rPr>
        <w:t>9艘船被授予“QUALSHIP21”的荣誉称号，3艘船舶正在发证审批中。</w:t>
      </w:r>
    </w:p>
    <w:p w14:paraId="21743B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八、其他依照法律法规规定应当公开的信息</w:t>
      </w:r>
    </w:p>
    <w:p w14:paraId="32018E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报告期内，油轮公司未存在其他依照法律法规规定应当公开的信息。</w:t>
      </w:r>
    </w:p>
    <w:p w14:paraId="67C59BB7">
      <w:pPr>
        <w:keepNext w:val="0"/>
        <w:keepLines w:val="0"/>
        <w:pageBreakBefore w:val="0"/>
        <w:widowControl w:val="0"/>
        <w:kinsoku/>
        <w:wordWrap/>
        <w:overflowPunct/>
        <w:topLinePunct w:val="0"/>
        <w:autoSpaceDE/>
        <w:autoSpaceDN/>
        <w:bidi w:val="0"/>
        <w:spacing w:line="560" w:lineRule="exact"/>
        <w:jc w:val="both"/>
        <w:textAlignment w:val="auto"/>
      </w:pPr>
    </w:p>
    <w:p w14:paraId="34877C83">
      <w:pPr>
        <w:keepNext w:val="0"/>
        <w:keepLines w:val="0"/>
        <w:pageBreakBefore w:val="0"/>
        <w:widowControl w:val="0"/>
        <w:kinsoku/>
        <w:wordWrap/>
        <w:overflowPunct/>
        <w:topLinePunct w:val="0"/>
        <w:autoSpaceDE/>
        <w:autoSpaceDN/>
        <w:bidi w:val="0"/>
        <w:spacing w:line="560" w:lineRule="exact"/>
        <w:jc w:val="both"/>
        <w:textAlignment w:val="auto"/>
      </w:pPr>
    </w:p>
    <w:p w14:paraId="0A96CF40">
      <w:pPr>
        <w:keepNext w:val="0"/>
        <w:keepLines w:val="0"/>
        <w:pageBreakBefore w:val="0"/>
        <w:widowControl w:val="0"/>
        <w:kinsoku/>
        <w:wordWrap/>
        <w:overflowPunct/>
        <w:topLinePunct w:val="0"/>
        <w:autoSpaceDE/>
        <w:autoSpaceDN/>
        <w:bidi w:val="0"/>
        <w:spacing w:line="560" w:lineRule="exact"/>
        <w:jc w:val="both"/>
        <w:textAlignment w:val="auto"/>
      </w:pPr>
      <w:bookmarkStart w:id="0" w:name="_GoBack"/>
      <w:bookmarkEnd w:id="0"/>
    </w:p>
    <w:p w14:paraId="619FCC3D">
      <w:pPr>
        <w:keepNext w:val="0"/>
        <w:keepLines w:val="0"/>
        <w:pageBreakBefore w:val="0"/>
        <w:widowControl w:val="0"/>
        <w:kinsoku/>
        <w:wordWrap/>
        <w:overflowPunct/>
        <w:topLinePunct w:val="0"/>
        <w:autoSpaceDE/>
        <w:autoSpaceDN/>
        <w:bidi w:val="0"/>
        <w:spacing w:line="560" w:lineRule="exact"/>
        <w:jc w:val="both"/>
        <w:textAlignment w:val="auto"/>
      </w:pPr>
    </w:p>
    <w:sectPr>
      <w:headerReference r:id="rId3" w:type="default"/>
      <w:footerReference r:id="rId4" w:type="default"/>
      <w:pgSz w:w="11906" w:h="16838"/>
      <w:pgMar w:top="2041" w:right="1485" w:bottom="2041" w:left="14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1850">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2769235</wp:posOffset>
              </wp:positionH>
              <wp:positionV relativeFrom="paragraph">
                <wp:posOffset>-485775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B7AF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05pt;margin-top:-38.25pt;height:144pt;width:144pt;mso-position-horizontal-relative:margin;mso-wrap-style:none;z-index:251659264;mso-width-relative:page;mso-height-relative:page;" filled="f" stroked="f" coordsize="21600,21600" o:gfxdata="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qVpP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5CCB7AF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2AFF">
    <w:pPr>
      <w:pStyle w:val="6"/>
      <w:pBdr>
        <w:bottom w:val="none" w:color="auto" w:sz="0" w:space="1"/>
      </w:pBdr>
      <w:rPr>
        <w:rFonts w:hint="default" w:ascii="宋体" w:hAnsi="宋体" w:eastAsia="宋体" w:cs="宋体"/>
        <w:sz w:val="21"/>
        <w:szCs w:val="21"/>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MDBhYzQzOTM0OTkxOTE2YTQwNzZiYjY5MGVjOGQifQ=="/>
  </w:docVars>
  <w:rsids>
    <w:rsidRoot w:val="00172A27"/>
    <w:rsid w:val="0006342A"/>
    <w:rsid w:val="000D5F76"/>
    <w:rsid w:val="000F67B4"/>
    <w:rsid w:val="00105F7E"/>
    <w:rsid w:val="001541EF"/>
    <w:rsid w:val="0017396E"/>
    <w:rsid w:val="00267A2D"/>
    <w:rsid w:val="002D44D9"/>
    <w:rsid w:val="002F5A5F"/>
    <w:rsid w:val="00331C32"/>
    <w:rsid w:val="00341953"/>
    <w:rsid w:val="00384FDC"/>
    <w:rsid w:val="00426C40"/>
    <w:rsid w:val="0043526E"/>
    <w:rsid w:val="004D3E9B"/>
    <w:rsid w:val="00520077"/>
    <w:rsid w:val="00524BAC"/>
    <w:rsid w:val="00590763"/>
    <w:rsid w:val="006151EF"/>
    <w:rsid w:val="006D24EA"/>
    <w:rsid w:val="006D36A0"/>
    <w:rsid w:val="007157D9"/>
    <w:rsid w:val="0072148C"/>
    <w:rsid w:val="00753429"/>
    <w:rsid w:val="00910B6C"/>
    <w:rsid w:val="00937B9E"/>
    <w:rsid w:val="00941D3B"/>
    <w:rsid w:val="00987EAC"/>
    <w:rsid w:val="009925EC"/>
    <w:rsid w:val="009B2443"/>
    <w:rsid w:val="00AB035C"/>
    <w:rsid w:val="00B2007A"/>
    <w:rsid w:val="00B7620C"/>
    <w:rsid w:val="00B947CB"/>
    <w:rsid w:val="00B94E2A"/>
    <w:rsid w:val="00BB1E4D"/>
    <w:rsid w:val="00BE1C0F"/>
    <w:rsid w:val="00C47833"/>
    <w:rsid w:val="00CA17D1"/>
    <w:rsid w:val="00CE2918"/>
    <w:rsid w:val="00D61E04"/>
    <w:rsid w:val="00DB270E"/>
    <w:rsid w:val="00DC0F39"/>
    <w:rsid w:val="00E6391C"/>
    <w:rsid w:val="00EC0C84"/>
    <w:rsid w:val="00F24AEF"/>
    <w:rsid w:val="00F35EFC"/>
    <w:rsid w:val="00F96FB2"/>
    <w:rsid w:val="00FB6394"/>
    <w:rsid w:val="01431303"/>
    <w:rsid w:val="024066CF"/>
    <w:rsid w:val="0BEF5983"/>
    <w:rsid w:val="0F267BCC"/>
    <w:rsid w:val="14AE446C"/>
    <w:rsid w:val="165A0141"/>
    <w:rsid w:val="166B7C4C"/>
    <w:rsid w:val="1C152437"/>
    <w:rsid w:val="1CDB6DC1"/>
    <w:rsid w:val="1E8D17D2"/>
    <w:rsid w:val="213C31F2"/>
    <w:rsid w:val="2894324C"/>
    <w:rsid w:val="2BDA1AB9"/>
    <w:rsid w:val="2CE039B3"/>
    <w:rsid w:val="2F267568"/>
    <w:rsid w:val="322A150E"/>
    <w:rsid w:val="32D173DD"/>
    <w:rsid w:val="34F34743"/>
    <w:rsid w:val="351475F7"/>
    <w:rsid w:val="366D22CD"/>
    <w:rsid w:val="36EB7947"/>
    <w:rsid w:val="3B727DEB"/>
    <w:rsid w:val="3B9F5EC6"/>
    <w:rsid w:val="45287BB5"/>
    <w:rsid w:val="50102882"/>
    <w:rsid w:val="522B1FAB"/>
    <w:rsid w:val="52E23E9E"/>
    <w:rsid w:val="55F712D1"/>
    <w:rsid w:val="5B464B2D"/>
    <w:rsid w:val="5C0A359D"/>
    <w:rsid w:val="5D0543CB"/>
    <w:rsid w:val="61122D25"/>
    <w:rsid w:val="61A80EA3"/>
    <w:rsid w:val="62B50325"/>
    <w:rsid w:val="634152E9"/>
    <w:rsid w:val="6A270117"/>
    <w:rsid w:val="6AD57401"/>
    <w:rsid w:val="719250AA"/>
    <w:rsid w:val="739D5607"/>
    <w:rsid w:val="77BF5C5A"/>
    <w:rsid w:val="78C44C6C"/>
    <w:rsid w:val="78FA44E4"/>
    <w:rsid w:val="7937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link w:val="14"/>
    <w:qFormat/>
    <w:uiPriority w:val="1"/>
    <w:pPr>
      <w:autoSpaceDE w:val="0"/>
      <w:autoSpaceDN w:val="0"/>
      <w:ind w:left="200"/>
      <w:jc w:val="left"/>
    </w:pPr>
    <w:rPr>
      <w:rFonts w:ascii="仿宋_GB2312" w:hAnsi="仿宋_GB2312" w:eastAsia="仿宋_GB2312" w:cs="仿宋_GB2312"/>
      <w:kern w:val="0"/>
      <w:sz w:val="32"/>
      <w:szCs w:val="32"/>
      <w:lang w:val="zh-CN" w:bidi="zh-CN"/>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22"/>
    <w:rPr>
      <w:b/>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正文文本 字符"/>
    <w:basedOn w:val="9"/>
    <w:link w:val="4"/>
    <w:autoRedefine/>
    <w:qFormat/>
    <w:uiPriority w:val="1"/>
    <w:rPr>
      <w:rFonts w:ascii="仿宋_GB2312" w:hAnsi="仿宋_GB2312" w:eastAsia="仿宋_GB2312" w:cs="仿宋_GB2312"/>
      <w:kern w:val="0"/>
      <w:sz w:val="32"/>
      <w:szCs w:val="32"/>
      <w:lang w:val="zh-CN" w:bidi="zh-CN"/>
    </w:rPr>
  </w:style>
  <w:style w:type="paragraph" w:styleId="15">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1764</Words>
  <Characters>2011</Characters>
  <Lines>6</Lines>
  <Paragraphs>1</Paragraphs>
  <TotalTime>0</TotalTime>
  <ScaleCrop>false</ScaleCrop>
  <LinksUpToDate>false</LinksUpToDate>
  <CharactersWithSpaces>2037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2022-01-20T03:07:00Z</dcterms:created>
  <dc:creator>Z</dc:creator>
  <cp:lastModifiedBy>sdtk_Vicky</cp:lastModifiedBy>
  <cp:lastPrinted>2021-12-02T02:19:00Z</cp:lastPrinted>
  <dcterms:modified xsi:type="dcterms:W3CDTF">2024-06-25T08:54:38Z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87ED49DAA2D6445A874858F862D804B7</vt:lpwstr>
  </property>
</Properties>
</file>